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PMingLiU"/>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大崎町長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住　所（金融機関所在地）　　　　　　　　　　　　　　　　　　　　　　　　　　</w:t>
      </w:r>
    </w:p>
    <w:p>
      <w:pPr>
        <w:pStyle w:val="0"/>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氏　名（職員名）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（代表者）氏名　　　　　　　　　　　　　　　　　　　　印　　　　　　</w:t>
      </w:r>
    </w:p>
    <w:p>
      <w:pPr>
        <w:pStyle w:val="0"/>
        <w:rPr>
          <w:rFonts w:hint="default" w:ascii="ＭＳ ゴシック" w:hAnsi="ＭＳ ゴシック" w:eastAsia="ＭＳ ゴシック"/>
        </w:rPr>
      </w:pPr>
    </w:p>
    <w:p>
      <w:pPr>
        <w:pStyle w:val="31"/>
        <w:rPr>
          <w:rFonts w:hint="default"/>
        </w:rPr>
      </w:pPr>
      <w:r>
        <w:rPr>
          <w:rFonts w:hint="eastAsia"/>
        </w:rPr>
        <w:t>記</w:t>
      </w:r>
    </w:p>
    <w:p>
      <w:pPr>
        <w:pStyle w:val="0"/>
        <w:rPr>
          <w:rFonts w:hint="default" w:ascii="ＭＳ ゴシック" w:hAnsi="ＭＳ ゴシック" w:eastAsia="ＭＳ ゴシック"/>
        </w:rPr>
      </w:pP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33"/>
        <w:rPr>
          <w:rFonts w:hint="default"/>
        </w:rPr>
      </w:pPr>
      <w:r>
        <w:rPr>
          <w:rFonts w:hint="eastAsia"/>
        </w:rPr>
        <w:t>以上</w:t>
      </w: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suppressAutoHyphens w:val="1"/>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bookmarkStart w:id="0" w:name="_GoBack"/>
      <w:bookmarkEnd w:id="0"/>
    </w:p>
    <w:sectPr>
      <w:footerReference r:id="rId6" w:type="default"/>
      <w:type w:val="continuous"/>
      <w:pgSz w:w="11906" w:h="16838"/>
      <w:pgMar w:top="1985" w:right="1701" w:bottom="1701" w:left="1701"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263</Words>
  <Characters>231</Characters>
  <Application>JUST Note</Application>
  <Lines>1</Lines>
  <Paragraphs>1</Paragraphs>
  <Company>METI</Company>
  <CharactersWithSpaces>493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2024-10-23T02:04:00Z</dcterms:created>
  <dcterms:modified xsi:type="dcterms:W3CDTF">2025-03-19T07:49:12Z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