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4"/>
        <w:gridCol w:w="3164"/>
        <w:gridCol w:w="3165"/>
      </w:tblGrid>
      <w:tr>
        <w:trPr>
          <w:trHeight w:val="113" w:hRule="atLeast"/>
        </w:trPr>
        <w:tc>
          <w:tcPr>
            <w:tcW w:w="949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16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6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6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16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6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6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8940"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SimSun"/>
                <w:color w:val="000000"/>
                <w:kern w:val="0"/>
              </w:rPr>
            </w:pPr>
          </w:p>
          <w:p>
            <w:pPr>
              <w:pStyle w:val="0"/>
              <w:suppressAutoHyphens w:val="1"/>
              <w:kinsoku w:val="0"/>
              <w:overflowPunct w:val="0"/>
              <w:autoSpaceDE w:val="0"/>
              <w:autoSpaceDN w:val="0"/>
              <w:adjustRightInd w:val="0"/>
              <w:ind w:right="98"/>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w:t>
            </w:r>
            <w:r>
              <w:rPr>
                <w:rFonts w:hint="eastAsia" w:ascii="ＭＳ ゴシック" w:hAnsi="ＭＳ ゴシック" w:eastAsia="ＭＳ ゴシック"/>
                <w:color w:val="000000"/>
                <w:kern w:val="0"/>
                <w:u w:val="single" w:color="auto"/>
              </w:rPr>
              <w:t>2</w:t>
            </w:r>
            <w:r>
              <w:rPr>
                <w:rFonts w:hint="eastAsia" w:ascii="ＭＳ ゴシック" w:hAnsi="ＭＳ ゴシック" w:eastAsia="ＭＳ ゴシック"/>
                <w:color w:val="000000"/>
                <w:kern w:val="0"/>
                <w:u w:val="single" w:color="auto"/>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8"/>
              <w:gridCol w:w="3118"/>
              <w:gridCol w:w="3118"/>
            </w:tblGrid>
            <w:tr>
              <w:trPr>
                <w:trHeight w:val="372" w:hRule="atLeast"/>
              </w:trPr>
              <w:tc>
                <w:tcPr>
                  <w:tcW w:w="311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textAlignment w:val="baseline"/>
                    <w:rPr>
                      <w:rFonts w:hint="default" w:ascii="ＭＳ ゴシック" w:hAnsi="ＭＳ ゴシック" w:eastAsia="ＭＳ ゴシック"/>
                      <w:color w:val="000000"/>
                      <w:spacing w:val="16"/>
                      <w:kern w:val="0"/>
                    </w:rPr>
                  </w:pPr>
                </w:p>
              </w:tc>
              <w:tc>
                <w:tcPr>
                  <w:tcW w:w="311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1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18"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10" w:lineRule="atLeast"/>
              <w:ind w:left="242" w:hanging="242"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1236345</wp:posOffset>
                      </wp:positionH>
                      <wp:positionV relativeFrom="paragraph">
                        <wp:posOffset>64770</wp:posOffset>
                      </wp:positionV>
                      <wp:extent cx="603250" cy="254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pt;height:20pt;mso-position-horizontal-relative:text;position:absolute;margin-left:97.35pt;margin-top:5.09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指定業種の減少率</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全体の減少率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最近３か月間における全体の売上高等に占める指定業種の売上高等の割合</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525" w:firstLineChars="2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p>
          <w:p>
            <w:pPr>
              <w:pStyle w:val="0"/>
              <w:suppressAutoHyphens w:val="1"/>
              <w:kinsoku w:val="0"/>
              <w:overflowPunct w:val="0"/>
              <w:autoSpaceDE w:val="0"/>
              <w:autoSpaceDN w:val="0"/>
              <w:adjustRightInd w:val="0"/>
              <w:ind w:left="182" w:firstLine="3360" w:firstLineChars="16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指定業種の月平均売上高営業利益率</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525" w:firstLineChars="2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指定業種の月平均売上高営業利益率</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14"/>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（留意事項）①本認定とは別に、金融機関及び信用保証協会による金融上の審査があります。</w:t>
      </w:r>
    </w:p>
    <w:p>
      <w:pPr>
        <w:pStyle w:val="24"/>
        <w:suppressAutoHyphens w:val="1"/>
        <w:wordWrap w:val="0"/>
        <w:spacing w:line="240" w:lineRule="exact"/>
        <w:ind w:left="1701" w:leftChars="687" w:hanging="258" w:hangingChars="12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type w:val="continuous"/>
          <w:pgSz w:w="11906" w:h="16838"/>
          <w:pgMar w:top="1134" w:right="1134" w:bottom="1134" w:left="1134" w:header="851" w:footer="736" w:gutter="0"/>
          <w:cols w:space="720"/>
          <w:textDirection w:val="lrTb"/>
          <w:docGrid w:linePitch="360"/>
        </w:sectPr>
      </w:pPr>
    </w:p>
    <w:p>
      <w:pPr>
        <w:pStyle w:val="24"/>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rPr>
      </w:pPr>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靖弘</w:t>
      </w:r>
      <w:bookmarkStart w:id="1" w:name="_GoBack"/>
      <w:bookmarkEnd w:id="1"/>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sectPr>
      <w:footerReference r:id="rId5" w:type="default"/>
      <w:type w:val="continuous"/>
      <w:pgSz w:w="11906" w:h="16838"/>
      <w:pgMar w:top="1247" w:right="1418" w:bottom="1247"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3</Words>
  <Characters>793</Characters>
  <Application>JUST Note</Application>
  <Lines>63</Lines>
  <Paragraphs>34</Paragraphs>
  <Company>METI</Company>
  <CharactersWithSpaces>1268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2024-11-01T06:32:00Z</dcterms:created>
  <dcterms:modified xsi:type="dcterms:W3CDTF">2025-03-19T07:04:47Z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